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3C65" w:rsidRDefault="00833C65">
      <w:pPr>
        <w:widowControl w:val="0"/>
        <w:pBdr>
          <w:top w:val="nil"/>
          <w:left w:val="nil"/>
          <w:bottom w:val="nil"/>
          <w:right w:val="nil"/>
          <w:between w:val="nil"/>
        </w:pBdr>
        <w:spacing w:after="0"/>
      </w:pPr>
    </w:p>
    <w:p w:rsidR="00833C65" w:rsidRDefault="007809C5">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Framework Schedule 3 (Framework Prices)</w:t>
      </w:r>
    </w:p>
    <w:p w:rsidR="00833C65" w:rsidRDefault="007809C5">
      <w:pPr>
        <w:numPr>
          <w:ilvl w:val="0"/>
          <w:numId w:val="1"/>
        </w:numPr>
        <w:pBdr>
          <w:top w:val="nil"/>
          <w:left w:val="nil"/>
          <w:bottom w:val="nil"/>
          <w:right w:val="nil"/>
          <w:between w:val="nil"/>
        </w:pBdr>
        <w:tabs>
          <w:tab w:val="left" w:pos="142"/>
        </w:tabs>
        <w:spacing w:before="120" w:after="240" w:line="240" w:lineRule="auto"/>
        <w:jc w:val="both"/>
      </w:pPr>
      <w:bookmarkStart w:id="1" w:name="_heading=h.30j0zll" w:colFirst="0" w:colLast="0"/>
      <w:bookmarkEnd w:id="1"/>
      <w:r>
        <w:rPr>
          <w:rFonts w:ascii="Arial" w:eastAsia="Arial" w:hAnsi="Arial" w:cs="Arial"/>
          <w:b/>
          <w:color w:val="000000"/>
          <w:sz w:val="24"/>
          <w:szCs w:val="24"/>
        </w:rPr>
        <w:t>How Framework Prices are used to calculate Call-Off Charges</w:t>
      </w:r>
    </w:p>
    <w:p w:rsidR="00833C65" w:rsidRDefault="007809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833C65" w:rsidRDefault="007809C5">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833C65" w:rsidRDefault="007809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833C65" w:rsidRDefault="007809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833C65" w:rsidRDefault="007809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833C65" w:rsidRDefault="007809C5">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833C65" w:rsidRDefault="007809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833C65" w:rsidRDefault="007809C5">
      <w:pPr>
        <w:numPr>
          <w:ilvl w:val="0"/>
          <w:numId w:val="1"/>
        </w:numPr>
        <w:pBdr>
          <w:top w:val="nil"/>
          <w:left w:val="nil"/>
          <w:bottom w:val="nil"/>
          <w:right w:val="nil"/>
          <w:between w:val="nil"/>
        </w:pBdr>
        <w:tabs>
          <w:tab w:val="left" w:pos="142"/>
        </w:tabs>
        <w:spacing w:before="120" w:after="240" w:line="240" w:lineRule="auto"/>
        <w:jc w:val="both"/>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 xml:space="preserve">Are costs and expenses are included in the Framework </w:t>
      </w:r>
      <w:proofErr w:type="gramStart"/>
      <w:r>
        <w:rPr>
          <w:rFonts w:ascii="Arial" w:eastAsia="Arial" w:hAnsi="Arial" w:cs="Arial"/>
          <w:b/>
          <w:color w:val="000000"/>
          <w:sz w:val="24"/>
          <w:szCs w:val="24"/>
        </w:rPr>
        <w:t>Prices</w:t>
      </w:r>
      <w:proofErr w:type="gramEnd"/>
      <w:r>
        <w:rPr>
          <w:rFonts w:ascii="Arial" w:eastAsia="Arial" w:hAnsi="Arial" w:cs="Arial"/>
          <w:b/>
          <w:color w:val="000000"/>
          <w:sz w:val="24"/>
          <w:szCs w:val="24"/>
        </w:rPr>
        <w:t xml:space="preserve"> </w:t>
      </w:r>
    </w:p>
    <w:p w:rsidR="00833C65" w:rsidRDefault="007809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sz w:val="24"/>
          <w:szCs w:val="24"/>
        </w:rPr>
        <w:t xml:space="preserve">Except as expressly set out in Paragraph 4 below, or otherwise stated in a Call Off Order Form the </w:t>
      </w:r>
      <w:r>
        <w:rPr>
          <w:rFonts w:ascii="Arial" w:eastAsia="Arial" w:hAnsi="Arial" w:cs="Arial"/>
          <w:color w:val="000000"/>
          <w:sz w:val="24"/>
          <w:szCs w:val="24"/>
        </w:rPr>
        <w:t>Framework Prices shall include all costs and expenses relating to the provision of Deliverables. No further amounts shall be payable in respect of matters such as:</w:t>
      </w:r>
    </w:p>
    <w:p w:rsidR="00833C65" w:rsidRDefault="007809C5">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rsidR="00833C65" w:rsidRDefault="007809C5">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rsidR="00833C65" w:rsidRDefault="007809C5">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833C65" w:rsidRDefault="007809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Pr>
          <w:rFonts w:ascii="Arial" w:eastAsia="Arial" w:hAnsi="Arial" w:cs="Arial"/>
          <w:b/>
          <w:sz w:val="24"/>
          <w:szCs w:val="24"/>
        </w:rPr>
        <w:t>2</w:t>
      </w:r>
      <w:r>
        <w:rPr>
          <w:rFonts w:ascii="Arial" w:eastAsia="Arial" w:hAnsi="Arial" w:cs="Arial"/>
          <w:color w:val="000000"/>
          <w:sz w:val="24"/>
          <w:szCs w:val="24"/>
        </w:rPr>
        <w:t xml:space="preserve"> </w:t>
      </w:r>
      <w:r>
        <w:rPr>
          <w:rFonts w:ascii="Arial" w:eastAsia="Arial" w:hAnsi="Arial" w:cs="Arial"/>
          <w:sz w:val="24"/>
          <w:szCs w:val="24"/>
        </w:rPr>
        <w:t>years</w:t>
      </w:r>
      <w:r>
        <w:rPr>
          <w:rFonts w:ascii="Arial" w:eastAsia="Arial" w:hAnsi="Arial" w:cs="Arial"/>
          <w:color w:val="000000"/>
          <w:sz w:val="24"/>
          <w:szCs w:val="24"/>
        </w:rPr>
        <w:t xml:space="preserve">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833C65" w:rsidRDefault="007809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the next Review Date.</w:t>
      </w:r>
    </w:p>
    <w:p w:rsidR="00833C65" w:rsidRDefault="007809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833C65" w:rsidRDefault="007809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833C65" w:rsidRDefault="007809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for each Framework Price under review, written evidence of the justification for the requested increase including:</w:t>
      </w:r>
    </w:p>
    <w:p w:rsidR="00833C65" w:rsidRDefault="007809C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rsidR="00833C65" w:rsidRDefault="007809C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rsidR="00833C65" w:rsidRDefault="007809C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rsidR="00833C65" w:rsidRDefault="007809C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rsidR="00833C65" w:rsidRDefault="007809C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evidence that the Supplier’s profit component of the </w:t>
      </w:r>
      <w:proofErr w:type="gramStart"/>
      <w:r>
        <w:rPr>
          <w:rFonts w:ascii="Arial" w:eastAsia="Arial" w:hAnsi="Arial" w:cs="Arial"/>
          <w:color w:val="000000"/>
          <w:sz w:val="24"/>
          <w:szCs w:val="24"/>
        </w:rPr>
        <w:t>relevant  Framework</w:t>
      </w:r>
      <w:proofErr w:type="gramEnd"/>
      <w:r>
        <w:rPr>
          <w:rFonts w:ascii="Arial" w:eastAsia="Arial" w:hAnsi="Arial" w:cs="Arial"/>
          <w:color w:val="000000"/>
          <w:sz w:val="24"/>
          <w:szCs w:val="24"/>
        </w:rPr>
        <w:t xml:space="preserve"> Price is no greater than that applying to Framework Prices using the same pricing mechanism as at the Contract Commencement Date.</w:t>
      </w:r>
    </w:p>
    <w:p w:rsidR="00833C65" w:rsidRDefault="007809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rsidR="00833C65" w:rsidRDefault="007809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833C65" w:rsidRDefault="007809C5">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833C65" w:rsidRDefault="007809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833C65" w:rsidRDefault="007809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833C65" w:rsidRDefault="007809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833C65" w:rsidRDefault="007809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rsidR="00833C65" w:rsidRDefault="007809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rsidR="00833C65" w:rsidRDefault="007809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indexation, where Annex 1 states that a particular Framework Price or any component is “subject to Indexation” in which event Paragraph </w:t>
      </w:r>
      <w:r>
        <w:rPr>
          <w:rFonts w:ascii="Arial" w:eastAsia="Arial" w:hAnsi="Arial" w:cs="Arial"/>
          <w:sz w:val="24"/>
          <w:szCs w:val="24"/>
        </w:rPr>
        <w:t>6</w:t>
      </w:r>
      <w:r>
        <w:rPr>
          <w:rFonts w:ascii="Arial" w:eastAsia="Arial" w:hAnsi="Arial" w:cs="Arial"/>
          <w:color w:val="000000"/>
          <w:sz w:val="24"/>
          <w:szCs w:val="24"/>
        </w:rPr>
        <w:t xml:space="preserve"> below shall apply. </w:t>
      </w:r>
    </w:p>
    <w:p w:rsidR="00833C65" w:rsidRDefault="007809C5">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 When the Framework Prices are linked to inflation</w:t>
      </w:r>
    </w:p>
    <w:p w:rsidR="00833C65" w:rsidRDefault="007809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Framework Charges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833C65" w:rsidRDefault="007809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 xml:space="preserve">Framework Prices shall not be indexed during the first 1 year following the Framework Contract Commencement Date.  </w:t>
      </w:r>
    </w:p>
    <w:p w:rsidR="00833C65" w:rsidRDefault="007809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Annex 1 states a </w:t>
      </w:r>
      <w:proofErr w:type="gramStart"/>
      <w:r>
        <w:rPr>
          <w:rFonts w:ascii="Arial" w:eastAsia="Arial" w:hAnsi="Arial" w:cs="Arial"/>
          <w:color w:val="000000"/>
          <w:sz w:val="24"/>
          <w:szCs w:val="24"/>
        </w:rPr>
        <w:t>Framework</w:t>
      </w:r>
      <w:proofErr w:type="gramEnd"/>
      <w:r>
        <w:rPr>
          <w:rFonts w:ascii="Arial" w:eastAsia="Arial" w:hAnsi="Arial" w:cs="Arial"/>
          <w:color w:val="000000"/>
          <w:sz w:val="24"/>
          <w:szCs w:val="24"/>
        </w:rPr>
        <w:t xml:space="preserve"> Price is subject to Indexation then it will be indexed on the date which is 1 year after the Framework Commencement Date to reflect the percentage change in the CPI since the Framework Commencement Date.  They shall be indexed on each following yearly anniversary to reflect the percentage change in the CPI since the previous change.</w:t>
      </w:r>
    </w:p>
    <w:p w:rsidR="00833C65" w:rsidRDefault="007809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the CPI Index:</w:t>
      </w:r>
    </w:p>
    <w:p w:rsidR="00833C65" w:rsidRDefault="007809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used to carry out an indexation calculation is updated (for example due to it being provisional) then the indexation calculation shall also be updated unless C</w:t>
      </w:r>
      <w:r>
        <w:rPr>
          <w:rFonts w:ascii="Arial" w:eastAsia="Arial" w:hAnsi="Arial" w:cs="Arial"/>
          <w:sz w:val="24"/>
          <w:szCs w:val="24"/>
        </w:rPr>
        <w:t>C</w:t>
      </w:r>
      <w:r>
        <w:rPr>
          <w:rFonts w:ascii="Arial" w:eastAsia="Arial" w:hAnsi="Arial" w:cs="Arial"/>
          <w:color w:val="000000"/>
          <w:sz w:val="24"/>
          <w:szCs w:val="24"/>
        </w:rPr>
        <w:t xml:space="preserve">S and the Supplier agree otherwise; </w:t>
      </w:r>
    </w:p>
    <w:p w:rsidR="00833C65" w:rsidRDefault="007809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is no longer published, CCS and the Supplier shall agree a fair and reasonable replacement that will have substantially the same effect.</w:t>
      </w:r>
    </w:p>
    <w:p w:rsidR="00833C65" w:rsidRDefault="00833C65">
      <w:pPr>
        <w:rPr>
          <w:highlight w:val="yellow"/>
        </w:rPr>
      </w:pPr>
      <w:bookmarkStart w:id="5" w:name="_heading=h.tyjcwt" w:colFirst="0" w:colLast="0"/>
      <w:bookmarkEnd w:id="5"/>
    </w:p>
    <w:p w:rsidR="00833C65" w:rsidRDefault="00833C65">
      <w:pPr>
        <w:rPr>
          <w:highlight w:val="yellow"/>
        </w:rPr>
      </w:pPr>
    </w:p>
    <w:p w:rsidR="00833C65" w:rsidRDefault="00833C65">
      <w:pPr>
        <w:rPr>
          <w:highlight w:val="yellow"/>
        </w:rPr>
      </w:pPr>
    </w:p>
    <w:p w:rsidR="00833C65" w:rsidRDefault="00833C65">
      <w:pPr>
        <w:rPr>
          <w:highlight w:val="yellow"/>
        </w:rPr>
      </w:pPr>
    </w:p>
    <w:p w:rsidR="00833C65" w:rsidRDefault="00833C65">
      <w:pPr>
        <w:rPr>
          <w:highlight w:val="yellow"/>
        </w:rPr>
      </w:pPr>
    </w:p>
    <w:p w:rsidR="00833C65" w:rsidRDefault="00833C65">
      <w:pPr>
        <w:rPr>
          <w:highlight w:val="yellow"/>
        </w:rPr>
      </w:pPr>
    </w:p>
    <w:p w:rsidR="00833C65" w:rsidRDefault="00833C65">
      <w:pPr>
        <w:rPr>
          <w:highlight w:val="yellow"/>
        </w:rPr>
      </w:pPr>
    </w:p>
    <w:p w:rsidR="00833C65" w:rsidRDefault="00833C65">
      <w:pPr>
        <w:rPr>
          <w:highlight w:val="yellow"/>
        </w:rPr>
      </w:pPr>
    </w:p>
    <w:p w:rsidR="00833C65" w:rsidRDefault="00833C65">
      <w:pPr>
        <w:rPr>
          <w:highlight w:val="yellow"/>
        </w:rPr>
      </w:pPr>
    </w:p>
    <w:p w:rsidR="00833C65" w:rsidRDefault="00833C65">
      <w:pPr>
        <w:rPr>
          <w:highlight w:val="yellow"/>
        </w:rPr>
      </w:pPr>
    </w:p>
    <w:p w:rsidR="00833C65" w:rsidRDefault="00833C65">
      <w:pPr>
        <w:rPr>
          <w:highlight w:val="yellow"/>
        </w:rPr>
      </w:pPr>
    </w:p>
    <w:p w:rsidR="00833C65" w:rsidRDefault="00833C65">
      <w:pPr>
        <w:rPr>
          <w:highlight w:val="yellow"/>
        </w:rPr>
      </w:pPr>
    </w:p>
    <w:p w:rsidR="00833C65" w:rsidRDefault="00833C65">
      <w:pPr>
        <w:rPr>
          <w:highlight w:val="yellow"/>
        </w:rPr>
      </w:pPr>
    </w:p>
    <w:p w:rsidR="00833C65" w:rsidRDefault="00833C65">
      <w:pPr>
        <w:rPr>
          <w:highlight w:val="yellow"/>
        </w:rPr>
      </w:pPr>
    </w:p>
    <w:p w:rsidR="00833C65" w:rsidRDefault="00833C65">
      <w:pPr>
        <w:rPr>
          <w:highlight w:val="yellow"/>
        </w:rPr>
      </w:pPr>
    </w:p>
    <w:p w:rsidR="00833C65" w:rsidRDefault="00833C65">
      <w:pPr>
        <w:rPr>
          <w:highlight w:val="yellow"/>
        </w:rPr>
      </w:pPr>
    </w:p>
    <w:p w:rsidR="00833C65" w:rsidRDefault="00833C65">
      <w:pPr>
        <w:rPr>
          <w:highlight w:val="yellow"/>
        </w:rPr>
      </w:pPr>
    </w:p>
    <w:p w:rsidR="00833C65" w:rsidRDefault="00833C65">
      <w:pPr>
        <w:rPr>
          <w:highlight w:val="yellow"/>
        </w:rPr>
      </w:pPr>
    </w:p>
    <w:p w:rsidR="00833C65" w:rsidRDefault="007809C5">
      <w:pPr>
        <w:rPr>
          <w:rFonts w:ascii="Arial" w:eastAsia="Arial" w:hAnsi="Arial" w:cs="Arial"/>
          <w:b/>
          <w:sz w:val="36"/>
          <w:szCs w:val="36"/>
        </w:rPr>
      </w:pPr>
      <w:r>
        <w:rPr>
          <w:rFonts w:ascii="Arial" w:eastAsia="Arial" w:hAnsi="Arial" w:cs="Arial"/>
          <w:b/>
          <w:sz w:val="36"/>
          <w:szCs w:val="36"/>
        </w:rPr>
        <w:t>Annex 1: Rates and Prices</w:t>
      </w:r>
    </w:p>
    <w:p w:rsidR="00833C65" w:rsidRDefault="000F0031">
      <w:pPr>
        <w:keepNext/>
        <w:spacing w:before="240" w:after="240" w:line="240" w:lineRule="auto"/>
        <w:rPr>
          <w:rFonts w:ascii="Arial" w:eastAsia="Arial" w:hAnsi="Arial" w:cs="Arial"/>
          <w:sz w:val="24"/>
          <w:szCs w:val="24"/>
        </w:rPr>
      </w:pPr>
      <w:r>
        <w:rPr>
          <w:rFonts w:ascii="Arial" w:hAnsi="Arial" w:cs="Arial"/>
          <w:b/>
          <w:bCs/>
          <w:color w:val="000000"/>
        </w:rPr>
        <w:t>Redacted under FOIA section 43, Commercial Interests</w:t>
      </w:r>
    </w:p>
    <w:p w:rsidR="00833C65" w:rsidRDefault="00833C65">
      <w:pPr>
        <w:spacing w:after="240" w:line="240" w:lineRule="auto"/>
        <w:ind w:firstLine="426"/>
        <w:jc w:val="center"/>
        <w:rPr>
          <w:rFonts w:ascii="Arial Bold" w:eastAsia="Arial Bold" w:hAnsi="Arial Bold" w:cs="Arial Bold"/>
          <w:b/>
          <w:smallCaps/>
          <w:color w:val="000000"/>
        </w:rPr>
      </w:pPr>
    </w:p>
    <w:p w:rsidR="00833C65" w:rsidRDefault="00833C65">
      <w:pPr>
        <w:spacing w:after="240" w:line="240" w:lineRule="auto"/>
        <w:ind w:firstLine="426"/>
        <w:jc w:val="center"/>
        <w:rPr>
          <w:rFonts w:ascii="Arial Bold" w:eastAsia="Arial Bold" w:hAnsi="Arial Bold" w:cs="Arial Bold"/>
          <w:b/>
          <w:smallCaps/>
          <w:color w:val="000000"/>
        </w:rPr>
      </w:pPr>
    </w:p>
    <w:p w:rsidR="00833C65" w:rsidRDefault="00833C65">
      <w:pPr>
        <w:spacing w:after="240" w:line="240" w:lineRule="auto"/>
        <w:ind w:firstLine="426"/>
        <w:jc w:val="center"/>
        <w:rPr>
          <w:rFonts w:ascii="Arial Bold" w:eastAsia="Arial Bold" w:hAnsi="Arial Bold" w:cs="Arial Bold"/>
          <w:b/>
          <w:smallCaps/>
          <w:color w:val="000000"/>
        </w:rPr>
      </w:pPr>
    </w:p>
    <w:p w:rsidR="00833C65" w:rsidRDefault="00833C65">
      <w:pPr>
        <w:spacing w:after="240" w:line="240" w:lineRule="auto"/>
        <w:ind w:firstLine="426"/>
        <w:jc w:val="center"/>
        <w:rPr>
          <w:rFonts w:ascii="Arial Bold" w:eastAsia="Arial Bold" w:hAnsi="Arial Bold" w:cs="Arial Bold"/>
          <w:b/>
          <w:smallCaps/>
          <w:color w:val="000000"/>
        </w:rPr>
      </w:pPr>
    </w:p>
    <w:p w:rsidR="00833C65" w:rsidRDefault="00833C65">
      <w:pPr>
        <w:spacing w:after="240" w:line="240" w:lineRule="auto"/>
        <w:ind w:firstLine="426"/>
        <w:jc w:val="center"/>
        <w:rPr>
          <w:rFonts w:ascii="Arial Bold" w:eastAsia="Arial Bold" w:hAnsi="Arial Bold" w:cs="Arial Bold"/>
          <w:b/>
          <w:smallCaps/>
          <w:color w:val="000000"/>
        </w:rPr>
      </w:pPr>
    </w:p>
    <w:p w:rsidR="00833C65" w:rsidRDefault="00833C65">
      <w:pPr>
        <w:spacing w:after="240" w:line="240" w:lineRule="auto"/>
        <w:ind w:firstLine="426"/>
        <w:jc w:val="center"/>
        <w:rPr>
          <w:rFonts w:ascii="Arial Bold" w:eastAsia="Arial Bold" w:hAnsi="Arial Bold" w:cs="Arial Bold"/>
          <w:b/>
          <w:smallCaps/>
          <w:color w:val="000000"/>
        </w:rPr>
      </w:pPr>
    </w:p>
    <w:p w:rsidR="000F0031" w:rsidRDefault="000F0031">
      <w:pPr>
        <w:spacing w:after="240" w:line="240" w:lineRule="auto"/>
        <w:ind w:firstLine="426"/>
        <w:jc w:val="center"/>
        <w:rPr>
          <w:rFonts w:ascii="Arial Bold" w:eastAsia="Arial Bold" w:hAnsi="Arial Bold" w:cs="Arial Bold"/>
          <w:b/>
          <w:smallCaps/>
          <w:color w:val="000000"/>
        </w:rPr>
      </w:pPr>
    </w:p>
    <w:p w:rsidR="000F0031" w:rsidRDefault="000F0031">
      <w:pPr>
        <w:spacing w:after="240" w:line="240" w:lineRule="auto"/>
        <w:ind w:firstLine="426"/>
        <w:jc w:val="center"/>
        <w:rPr>
          <w:rFonts w:ascii="Arial Bold" w:eastAsia="Arial Bold" w:hAnsi="Arial Bold" w:cs="Arial Bold"/>
          <w:b/>
          <w:smallCaps/>
          <w:color w:val="000000"/>
        </w:rPr>
      </w:pPr>
    </w:p>
    <w:p w:rsidR="000F0031" w:rsidRDefault="000F0031">
      <w:pPr>
        <w:spacing w:after="240" w:line="240" w:lineRule="auto"/>
        <w:ind w:firstLine="426"/>
        <w:jc w:val="center"/>
        <w:rPr>
          <w:rFonts w:ascii="Arial Bold" w:eastAsia="Arial Bold" w:hAnsi="Arial Bold" w:cs="Arial Bold"/>
          <w:b/>
          <w:smallCaps/>
          <w:color w:val="000000"/>
        </w:rPr>
      </w:pPr>
    </w:p>
    <w:p w:rsidR="000F0031" w:rsidRDefault="000F0031">
      <w:pPr>
        <w:spacing w:after="240" w:line="240" w:lineRule="auto"/>
        <w:ind w:firstLine="426"/>
        <w:jc w:val="center"/>
        <w:rPr>
          <w:rFonts w:ascii="Arial Bold" w:eastAsia="Arial Bold" w:hAnsi="Arial Bold" w:cs="Arial Bold"/>
          <w:b/>
          <w:smallCaps/>
          <w:color w:val="000000"/>
        </w:rPr>
      </w:pPr>
    </w:p>
    <w:p w:rsidR="000F0031" w:rsidRDefault="000F0031">
      <w:pPr>
        <w:spacing w:after="240" w:line="240" w:lineRule="auto"/>
        <w:ind w:firstLine="426"/>
        <w:jc w:val="center"/>
        <w:rPr>
          <w:rFonts w:ascii="Arial Bold" w:eastAsia="Arial Bold" w:hAnsi="Arial Bold" w:cs="Arial Bold"/>
          <w:b/>
          <w:smallCaps/>
          <w:color w:val="000000"/>
        </w:rPr>
      </w:pPr>
    </w:p>
    <w:p w:rsidR="000F0031" w:rsidRDefault="000F0031">
      <w:pPr>
        <w:spacing w:after="240" w:line="240" w:lineRule="auto"/>
        <w:ind w:firstLine="426"/>
        <w:jc w:val="center"/>
        <w:rPr>
          <w:rFonts w:ascii="Arial Bold" w:eastAsia="Arial Bold" w:hAnsi="Arial Bold" w:cs="Arial Bold"/>
          <w:b/>
          <w:smallCaps/>
          <w:color w:val="000000"/>
        </w:rPr>
      </w:pPr>
    </w:p>
    <w:p w:rsidR="000F0031" w:rsidRDefault="000F0031">
      <w:pPr>
        <w:spacing w:after="240" w:line="240" w:lineRule="auto"/>
        <w:ind w:firstLine="426"/>
        <w:jc w:val="center"/>
        <w:rPr>
          <w:rFonts w:ascii="Arial Bold" w:eastAsia="Arial Bold" w:hAnsi="Arial Bold" w:cs="Arial Bold"/>
          <w:b/>
          <w:smallCaps/>
          <w:color w:val="000000"/>
        </w:rPr>
      </w:pPr>
    </w:p>
    <w:p w:rsidR="000F0031" w:rsidRDefault="000F0031">
      <w:pPr>
        <w:spacing w:after="240" w:line="240" w:lineRule="auto"/>
        <w:ind w:firstLine="426"/>
        <w:jc w:val="center"/>
        <w:rPr>
          <w:rFonts w:ascii="Arial Bold" w:eastAsia="Arial Bold" w:hAnsi="Arial Bold" w:cs="Arial Bold"/>
          <w:b/>
          <w:smallCaps/>
          <w:color w:val="000000"/>
        </w:rPr>
      </w:pPr>
    </w:p>
    <w:p w:rsidR="000F0031" w:rsidRDefault="000F0031">
      <w:pPr>
        <w:spacing w:after="240" w:line="240" w:lineRule="auto"/>
        <w:ind w:firstLine="426"/>
        <w:jc w:val="center"/>
        <w:rPr>
          <w:rFonts w:ascii="Arial Bold" w:eastAsia="Arial Bold" w:hAnsi="Arial Bold" w:cs="Arial Bold"/>
          <w:b/>
          <w:smallCaps/>
          <w:color w:val="000000"/>
        </w:rPr>
      </w:pPr>
    </w:p>
    <w:p w:rsidR="000F0031" w:rsidRDefault="000F0031">
      <w:pPr>
        <w:spacing w:after="240" w:line="240" w:lineRule="auto"/>
        <w:ind w:firstLine="426"/>
        <w:jc w:val="center"/>
        <w:rPr>
          <w:rFonts w:ascii="Arial Bold" w:eastAsia="Arial Bold" w:hAnsi="Arial Bold" w:cs="Arial Bold"/>
          <w:b/>
          <w:smallCaps/>
          <w:color w:val="000000"/>
        </w:rPr>
      </w:pPr>
      <w:bookmarkStart w:id="6" w:name="_GoBack"/>
      <w:bookmarkEnd w:id="6"/>
    </w:p>
    <w:p w:rsidR="00833C65" w:rsidRDefault="00833C65">
      <w:pPr>
        <w:spacing w:after="240" w:line="240" w:lineRule="auto"/>
        <w:ind w:firstLine="426"/>
        <w:jc w:val="center"/>
        <w:rPr>
          <w:rFonts w:ascii="Arial Bold" w:eastAsia="Arial Bold" w:hAnsi="Arial Bold" w:cs="Arial Bold"/>
          <w:b/>
          <w:smallCaps/>
          <w:color w:val="000000"/>
        </w:rPr>
      </w:pPr>
    </w:p>
    <w:p w:rsidR="00833C65" w:rsidRDefault="00833C65">
      <w:pPr>
        <w:spacing w:after="240" w:line="240" w:lineRule="auto"/>
        <w:ind w:firstLine="426"/>
        <w:jc w:val="center"/>
        <w:rPr>
          <w:rFonts w:ascii="Arial Bold" w:eastAsia="Arial Bold" w:hAnsi="Arial Bold" w:cs="Arial Bold"/>
          <w:b/>
          <w:smallCaps/>
          <w:color w:val="000000"/>
        </w:rPr>
      </w:pPr>
    </w:p>
    <w:p w:rsidR="00833C65" w:rsidRDefault="00833C65">
      <w:pPr>
        <w:spacing w:after="240" w:line="240" w:lineRule="auto"/>
        <w:ind w:firstLine="426"/>
        <w:jc w:val="center"/>
        <w:rPr>
          <w:rFonts w:ascii="Arial Bold" w:eastAsia="Arial Bold" w:hAnsi="Arial Bold" w:cs="Arial Bold"/>
          <w:b/>
          <w:smallCaps/>
          <w:color w:val="000000"/>
        </w:rPr>
      </w:pPr>
    </w:p>
    <w:p w:rsidR="00833C65" w:rsidRDefault="00833C65">
      <w:pPr>
        <w:spacing w:after="240" w:line="240" w:lineRule="auto"/>
        <w:ind w:firstLine="426"/>
        <w:jc w:val="center"/>
        <w:rPr>
          <w:rFonts w:ascii="Arial Bold" w:eastAsia="Arial Bold" w:hAnsi="Arial Bold" w:cs="Arial Bold"/>
          <w:b/>
          <w:smallCaps/>
          <w:color w:val="000000"/>
        </w:rPr>
      </w:pPr>
    </w:p>
    <w:p w:rsidR="00833C65" w:rsidRDefault="00833C65">
      <w:pPr>
        <w:spacing w:after="240" w:line="240" w:lineRule="auto"/>
        <w:ind w:firstLine="426"/>
        <w:jc w:val="center"/>
        <w:rPr>
          <w:rFonts w:ascii="Arial Bold" w:eastAsia="Arial Bold" w:hAnsi="Arial Bold" w:cs="Arial Bold"/>
          <w:b/>
          <w:smallCaps/>
          <w:color w:val="000000"/>
        </w:rPr>
      </w:pPr>
    </w:p>
    <w:p w:rsidR="00833C65" w:rsidRDefault="00833C65">
      <w:pPr>
        <w:spacing w:after="240" w:line="240" w:lineRule="auto"/>
        <w:rPr>
          <w:rFonts w:ascii="Arial" w:eastAsia="Arial" w:hAnsi="Arial" w:cs="Arial"/>
          <w:b/>
          <w:smallCaps/>
          <w:color w:val="000000"/>
          <w:sz w:val="36"/>
          <w:szCs w:val="36"/>
        </w:rPr>
      </w:pPr>
    </w:p>
    <w:p w:rsidR="00833C65" w:rsidRDefault="00833C65">
      <w:pPr>
        <w:spacing w:after="240" w:line="240" w:lineRule="auto"/>
        <w:rPr>
          <w:rFonts w:ascii="Arial" w:eastAsia="Arial" w:hAnsi="Arial" w:cs="Arial"/>
          <w:b/>
          <w:smallCaps/>
          <w:color w:val="000000"/>
          <w:sz w:val="36"/>
          <w:szCs w:val="36"/>
        </w:rPr>
      </w:pPr>
    </w:p>
    <w:p w:rsidR="00833C65" w:rsidRDefault="007809C5">
      <w:pPr>
        <w:spacing w:after="240" w:line="240" w:lineRule="auto"/>
        <w:rPr>
          <w:rFonts w:ascii="Arial" w:eastAsia="Arial" w:hAnsi="Arial" w:cs="Arial"/>
          <w:b/>
          <w:smallCaps/>
          <w:color w:val="000000"/>
          <w:sz w:val="36"/>
          <w:szCs w:val="36"/>
        </w:rPr>
      </w:pPr>
      <w:r>
        <w:rPr>
          <w:rFonts w:ascii="Arial" w:eastAsia="Arial" w:hAnsi="Arial" w:cs="Arial"/>
          <w:b/>
          <w:smallCaps/>
          <w:color w:val="000000"/>
          <w:sz w:val="36"/>
          <w:szCs w:val="36"/>
        </w:rPr>
        <w:lastRenderedPageBreak/>
        <w:t>ANNEX 2: RATES AND PRICES</w:t>
      </w:r>
    </w:p>
    <w:p w:rsidR="00833C65" w:rsidRDefault="00833C65">
      <w:pPr>
        <w:spacing w:after="240" w:line="240" w:lineRule="auto"/>
        <w:rPr>
          <w:rFonts w:ascii="Arial" w:eastAsia="Arial" w:hAnsi="Arial" w:cs="Arial"/>
          <w:b/>
          <w:smallCaps/>
          <w:sz w:val="36"/>
          <w:szCs w:val="36"/>
        </w:rPr>
      </w:pPr>
    </w:p>
    <w:p w:rsidR="00833C65" w:rsidRDefault="007809C5">
      <w:pPr>
        <w:spacing w:before="240" w:after="240" w:line="240" w:lineRule="auto"/>
        <w:rPr>
          <w:rFonts w:ascii="Arial" w:eastAsia="Arial" w:hAnsi="Arial" w:cs="Arial"/>
          <w:sz w:val="32"/>
          <w:szCs w:val="32"/>
        </w:rPr>
      </w:pPr>
      <w:r>
        <w:rPr>
          <w:rFonts w:ascii="Arial" w:eastAsia="Arial" w:hAnsi="Arial" w:cs="Arial"/>
          <w:b/>
          <w:smallCaps/>
          <w:sz w:val="36"/>
          <w:szCs w:val="36"/>
        </w:rPr>
        <w:t xml:space="preserve">TABLE 1: Water and sewerage services </w:t>
      </w:r>
      <w:r>
        <w:rPr>
          <w:rFonts w:ascii="Arial" w:eastAsia="Arial" w:hAnsi="Arial" w:cs="Arial"/>
          <w:b/>
          <w:smallCaps/>
          <w:sz w:val="32"/>
          <w:szCs w:val="32"/>
        </w:rPr>
        <w:t>(Lot 1)</w:t>
      </w:r>
    </w:p>
    <w:tbl>
      <w:tblPr>
        <w:tblStyle w:val="a0"/>
        <w:tblW w:w="9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4"/>
        <w:gridCol w:w="4840"/>
      </w:tblGrid>
      <w:tr w:rsidR="00833C65">
        <w:trPr>
          <w:trHeight w:val="432"/>
        </w:trPr>
        <w:tc>
          <w:tcPr>
            <w:tcW w:w="4274"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b/>
              </w:rPr>
              <w:t>Framework Price</w:t>
            </w:r>
          </w:p>
        </w:tc>
        <w:tc>
          <w:tcPr>
            <w:tcW w:w="48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b/>
              </w:rPr>
              <w:t>Retail Percentage Charge (%)</w:t>
            </w:r>
          </w:p>
        </w:tc>
      </w:tr>
      <w:tr w:rsidR="00833C65">
        <w:trPr>
          <w:trHeight w:val="422"/>
        </w:trPr>
        <w:tc>
          <w:tcPr>
            <w:tcW w:w="42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t>Metered Water Supply</w:t>
            </w:r>
          </w:p>
        </w:tc>
        <w:tc>
          <w:tcPr>
            <w:tcW w:w="48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33C65" w:rsidRDefault="00833C65">
            <w:pPr>
              <w:rPr>
                <w:rFonts w:ascii="Times New Roman" w:eastAsia="Times New Roman" w:hAnsi="Times New Roman" w:cs="Times New Roman"/>
                <w:sz w:val="24"/>
                <w:szCs w:val="24"/>
              </w:rPr>
            </w:pPr>
          </w:p>
        </w:tc>
      </w:tr>
      <w:tr w:rsidR="00833C65">
        <w:trPr>
          <w:trHeight w:val="432"/>
        </w:trPr>
        <w:tc>
          <w:tcPr>
            <w:tcW w:w="42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t>Metered Wastewater</w:t>
            </w:r>
          </w:p>
        </w:tc>
        <w:tc>
          <w:tcPr>
            <w:tcW w:w="48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33C65" w:rsidRDefault="00833C65">
            <w:pPr>
              <w:rPr>
                <w:rFonts w:ascii="Times New Roman" w:eastAsia="Times New Roman" w:hAnsi="Times New Roman" w:cs="Times New Roman"/>
                <w:sz w:val="24"/>
                <w:szCs w:val="24"/>
              </w:rPr>
            </w:pPr>
          </w:p>
        </w:tc>
      </w:tr>
      <w:tr w:rsidR="00833C65">
        <w:trPr>
          <w:trHeight w:val="422"/>
        </w:trPr>
        <w:tc>
          <w:tcPr>
            <w:tcW w:w="42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t>Unmetered Water Supply</w:t>
            </w:r>
          </w:p>
        </w:tc>
        <w:tc>
          <w:tcPr>
            <w:tcW w:w="48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33C65" w:rsidRDefault="00833C65">
            <w:pPr>
              <w:rPr>
                <w:rFonts w:ascii="Times New Roman" w:eastAsia="Times New Roman" w:hAnsi="Times New Roman" w:cs="Times New Roman"/>
                <w:sz w:val="24"/>
                <w:szCs w:val="24"/>
              </w:rPr>
            </w:pPr>
          </w:p>
        </w:tc>
      </w:tr>
      <w:tr w:rsidR="00833C65">
        <w:trPr>
          <w:trHeight w:val="432"/>
        </w:trPr>
        <w:tc>
          <w:tcPr>
            <w:tcW w:w="42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t>Unmetered Wastewater</w:t>
            </w:r>
          </w:p>
        </w:tc>
        <w:tc>
          <w:tcPr>
            <w:tcW w:w="48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33C65" w:rsidRDefault="00833C65">
            <w:pPr>
              <w:rPr>
                <w:rFonts w:ascii="Times New Roman" w:eastAsia="Times New Roman" w:hAnsi="Times New Roman" w:cs="Times New Roman"/>
                <w:sz w:val="24"/>
                <w:szCs w:val="24"/>
              </w:rPr>
            </w:pPr>
          </w:p>
        </w:tc>
      </w:tr>
      <w:tr w:rsidR="00833C65">
        <w:trPr>
          <w:trHeight w:val="359"/>
        </w:trPr>
        <w:tc>
          <w:tcPr>
            <w:tcW w:w="42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t>Trade Effluent Services</w:t>
            </w:r>
          </w:p>
        </w:tc>
        <w:tc>
          <w:tcPr>
            <w:tcW w:w="48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833C65" w:rsidRDefault="00833C65">
            <w:pPr>
              <w:rPr>
                <w:rFonts w:ascii="Times New Roman" w:eastAsia="Times New Roman" w:hAnsi="Times New Roman" w:cs="Times New Roman"/>
                <w:sz w:val="24"/>
                <w:szCs w:val="24"/>
              </w:rPr>
            </w:pPr>
          </w:p>
        </w:tc>
      </w:tr>
    </w:tbl>
    <w:p w:rsidR="00833C65" w:rsidRDefault="00833C65">
      <w:pPr>
        <w:spacing w:after="240" w:line="240" w:lineRule="auto"/>
        <w:jc w:val="center"/>
        <w:rPr>
          <w:rFonts w:ascii="Arial" w:eastAsia="Arial" w:hAnsi="Arial" w:cs="Arial"/>
          <w:b/>
          <w:smallCaps/>
          <w:sz w:val="36"/>
          <w:szCs w:val="36"/>
        </w:rPr>
      </w:pPr>
    </w:p>
    <w:p w:rsidR="00833C65" w:rsidRDefault="00833C65">
      <w:pPr>
        <w:spacing w:after="240" w:line="240" w:lineRule="auto"/>
        <w:jc w:val="center"/>
        <w:rPr>
          <w:rFonts w:ascii="Arial" w:eastAsia="Arial" w:hAnsi="Arial" w:cs="Arial"/>
          <w:b/>
          <w:smallCaps/>
          <w:sz w:val="36"/>
          <w:szCs w:val="36"/>
        </w:rPr>
      </w:pPr>
    </w:p>
    <w:p w:rsidR="00833C65" w:rsidRDefault="00833C65">
      <w:pPr>
        <w:spacing w:after="240" w:line="240" w:lineRule="auto"/>
        <w:jc w:val="center"/>
        <w:rPr>
          <w:rFonts w:ascii="Arial" w:eastAsia="Arial" w:hAnsi="Arial" w:cs="Arial"/>
          <w:b/>
          <w:smallCaps/>
          <w:sz w:val="36"/>
          <w:szCs w:val="36"/>
        </w:rPr>
      </w:pPr>
    </w:p>
    <w:p w:rsidR="00833C65" w:rsidRDefault="00833C65">
      <w:pPr>
        <w:spacing w:after="240" w:line="240" w:lineRule="auto"/>
        <w:jc w:val="center"/>
        <w:rPr>
          <w:rFonts w:ascii="Arial" w:eastAsia="Arial" w:hAnsi="Arial" w:cs="Arial"/>
          <w:b/>
          <w:smallCaps/>
          <w:sz w:val="36"/>
          <w:szCs w:val="36"/>
        </w:rPr>
      </w:pPr>
    </w:p>
    <w:p w:rsidR="00833C65" w:rsidRDefault="00833C65">
      <w:pPr>
        <w:spacing w:after="240" w:line="240" w:lineRule="auto"/>
        <w:jc w:val="center"/>
        <w:rPr>
          <w:rFonts w:ascii="Arial" w:eastAsia="Arial" w:hAnsi="Arial" w:cs="Arial"/>
          <w:b/>
          <w:smallCaps/>
          <w:sz w:val="36"/>
          <w:szCs w:val="36"/>
        </w:rPr>
      </w:pPr>
    </w:p>
    <w:p w:rsidR="00833C65" w:rsidRDefault="00833C65">
      <w:pPr>
        <w:spacing w:after="240" w:line="240" w:lineRule="auto"/>
        <w:jc w:val="center"/>
        <w:rPr>
          <w:rFonts w:ascii="Arial" w:eastAsia="Arial" w:hAnsi="Arial" w:cs="Arial"/>
          <w:b/>
          <w:smallCaps/>
          <w:sz w:val="36"/>
          <w:szCs w:val="36"/>
        </w:rPr>
      </w:pPr>
    </w:p>
    <w:p w:rsidR="00833C65" w:rsidRDefault="00833C65">
      <w:pPr>
        <w:spacing w:after="240" w:line="240" w:lineRule="auto"/>
        <w:jc w:val="center"/>
        <w:rPr>
          <w:rFonts w:ascii="Arial" w:eastAsia="Arial" w:hAnsi="Arial" w:cs="Arial"/>
          <w:b/>
          <w:smallCaps/>
          <w:sz w:val="36"/>
          <w:szCs w:val="36"/>
        </w:rPr>
      </w:pPr>
    </w:p>
    <w:p w:rsidR="00833C65" w:rsidRDefault="00833C65">
      <w:pPr>
        <w:spacing w:after="240" w:line="240" w:lineRule="auto"/>
        <w:jc w:val="center"/>
        <w:rPr>
          <w:rFonts w:ascii="Arial" w:eastAsia="Arial" w:hAnsi="Arial" w:cs="Arial"/>
          <w:b/>
          <w:smallCaps/>
          <w:sz w:val="36"/>
          <w:szCs w:val="36"/>
        </w:rPr>
      </w:pPr>
    </w:p>
    <w:p w:rsidR="00833C65" w:rsidRDefault="00833C65">
      <w:pPr>
        <w:spacing w:after="240" w:line="240" w:lineRule="auto"/>
        <w:jc w:val="center"/>
        <w:rPr>
          <w:rFonts w:ascii="Arial" w:eastAsia="Arial" w:hAnsi="Arial" w:cs="Arial"/>
          <w:b/>
          <w:smallCaps/>
          <w:sz w:val="36"/>
          <w:szCs w:val="36"/>
        </w:rPr>
      </w:pPr>
    </w:p>
    <w:p w:rsidR="00833C65" w:rsidRDefault="00833C65">
      <w:pPr>
        <w:spacing w:after="240" w:line="240" w:lineRule="auto"/>
        <w:jc w:val="center"/>
        <w:rPr>
          <w:rFonts w:ascii="Arial" w:eastAsia="Arial" w:hAnsi="Arial" w:cs="Arial"/>
          <w:b/>
          <w:smallCaps/>
          <w:sz w:val="36"/>
          <w:szCs w:val="36"/>
        </w:rPr>
      </w:pPr>
    </w:p>
    <w:p w:rsidR="00833C65" w:rsidRDefault="00833C65">
      <w:pPr>
        <w:spacing w:after="240" w:line="240" w:lineRule="auto"/>
        <w:jc w:val="center"/>
        <w:rPr>
          <w:rFonts w:ascii="Arial" w:eastAsia="Arial" w:hAnsi="Arial" w:cs="Arial"/>
          <w:b/>
          <w:smallCaps/>
          <w:sz w:val="36"/>
          <w:szCs w:val="36"/>
        </w:rPr>
      </w:pPr>
    </w:p>
    <w:p w:rsidR="00833C65" w:rsidRDefault="00833C65">
      <w:pPr>
        <w:spacing w:after="240" w:line="240" w:lineRule="auto"/>
        <w:jc w:val="center"/>
        <w:rPr>
          <w:rFonts w:ascii="Arial" w:eastAsia="Arial" w:hAnsi="Arial" w:cs="Arial"/>
          <w:b/>
          <w:smallCaps/>
          <w:sz w:val="36"/>
          <w:szCs w:val="36"/>
        </w:rPr>
      </w:pPr>
    </w:p>
    <w:p w:rsidR="00833C65" w:rsidRDefault="007809C5">
      <w:pPr>
        <w:spacing w:before="240" w:after="240" w:line="240" w:lineRule="auto"/>
        <w:rPr>
          <w:rFonts w:ascii="Arial" w:eastAsia="Arial" w:hAnsi="Arial" w:cs="Arial"/>
          <w:sz w:val="32"/>
          <w:szCs w:val="32"/>
        </w:rPr>
      </w:pPr>
      <w:r>
        <w:rPr>
          <w:rFonts w:ascii="Arial" w:eastAsia="Arial" w:hAnsi="Arial" w:cs="Arial"/>
          <w:b/>
          <w:smallCaps/>
          <w:color w:val="000000"/>
          <w:sz w:val="36"/>
          <w:szCs w:val="36"/>
        </w:rPr>
        <w:lastRenderedPageBreak/>
        <w:t xml:space="preserve">TABLE </w:t>
      </w:r>
      <w:r>
        <w:rPr>
          <w:rFonts w:ascii="Arial" w:eastAsia="Arial" w:hAnsi="Arial" w:cs="Arial"/>
          <w:b/>
          <w:smallCaps/>
          <w:sz w:val="36"/>
          <w:szCs w:val="36"/>
        </w:rPr>
        <w:t>2</w:t>
      </w:r>
      <w:r>
        <w:rPr>
          <w:rFonts w:ascii="Arial" w:eastAsia="Arial" w:hAnsi="Arial" w:cs="Arial"/>
          <w:b/>
          <w:smallCaps/>
          <w:color w:val="000000"/>
          <w:sz w:val="36"/>
          <w:szCs w:val="36"/>
        </w:rPr>
        <w:t xml:space="preserve">: Water ancillary services </w:t>
      </w:r>
      <w:r>
        <w:rPr>
          <w:rFonts w:ascii="Arial" w:eastAsia="Arial" w:hAnsi="Arial" w:cs="Arial"/>
          <w:b/>
          <w:smallCaps/>
          <w:color w:val="000000"/>
          <w:sz w:val="32"/>
          <w:szCs w:val="32"/>
        </w:rPr>
        <w:t>(Lot 2)</w:t>
      </w:r>
    </w:p>
    <w:tbl>
      <w:tblPr>
        <w:tblStyle w:val="a1"/>
        <w:tblW w:w="9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5"/>
        <w:gridCol w:w="3405"/>
        <w:gridCol w:w="1680"/>
      </w:tblGrid>
      <w:tr w:rsidR="00833C65">
        <w:tc>
          <w:tcPr>
            <w:tcW w:w="439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b/>
                <w:color w:val="000000"/>
              </w:rPr>
              <w:t>Service</w:t>
            </w:r>
          </w:p>
        </w:tc>
        <w:tc>
          <w:tcPr>
            <w:tcW w:w="340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b/>
                <w:color w:val="000000"/>
              </w:rPr>
              <w:t>Cost Metric</w:t>
            </w:r>
          </w:p>
        </w:tc>
        <w:tc>
          <w:tcPr>
            <w:tcW w:w="16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b/>
                <w:color w:val="000000"/>
              </w:rPr>
              <w:t>Price (</w:t>
            </w:r>
            <w:r>
              <w:rPr>
                <w:b/>
              </w:rPr>
              <w:t xml:space="preserve">£0.00) </w:t>
            </w:r>
          </w:p>
        </w:tc>
      </w:tr>
      <w:tr w:rsidR="00833C65">
        <w:tc>
          <w:tcPr>
            <w:tcW w:w="4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color w:val="000000"/>
              </w:rPr>
              <w:t>Water Footprint Assessment</w:t>
            </w:r>
          </w:p>
        </w:tc>
        <w:tc>
          <w:tcPr>
            <w:tcW w:w="3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color w:val="000000"/>
              </w:rPr>
              <w:t>Day Rate</w:t>
            </w:r>
          </w:p>
        </w:tc>
        <w:tc>
          <w:tcPr>
            <w:tcW w:w="16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833C65">
            <w:pPr>
              <w:rPr>
                <w:rFonts w:ascii="Times New Roman" w:eastAsia="Times New Roman" w:hAnsi="Times New Roman" w:cs="Times New Roman"/>
                <w:sz w:val="24"/>
                <w:szCs w:val="24"/>
              </w:rPr>
            </w:pPr>
          </w:p>
        </w:tc>
      </w:tr>
      <w:tr w:rsidR="00833C65">
        <w:tc>
          <w:tcPr>
            <w:tcW w:w="4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color w:val="000000"/>
              </w:rPr>
              <w:t>Tariff Optimisation and Benchmarking</w:t>
            </w:r>
          </w:p>
        </w:tc>
        <w:tc>
          <w:tcPr>
            <w:tcW w:w="3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color w:val="000000"/>
              </w:rPr>
              <w:t>Fee Per Meter</w:t>
            </w:r>
          </w:p>
        </w:tc>
        <w:tc>
          <w:tcPr>
            <w:tcW w:w="16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833C65">
            <w:pPr>
              <w:rPr>
                <w:rFonts w:ascii="Times New Roman" w:eastAsia="Times New Roman" w:hAnsi="Times New Roman" w:cs="Times New Roman"/>
                <w:sz w:val="24"/>
                <w:szCs w:val="24"/>
              </w:rPr>
            </w:pPr>
          </w:p>
        </w:tc>
      </w:tr>
      <w:tr w:rsidR="00833C65">
        <w:tc>
          <w:tcPr>
            <w:tcW w:w="4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color w:val="000000"/>
              </w:rPr>
              <w:t>Water Audit Site Surveys</w:t>
            </w:r>
          </w:p>
        </w:tc>
        <w:tc>
          <w:tcPr>
            <w:tcW w:w="3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color w:val="000000"/>
              </w:rPr>
              <w:t>Day Rate</w:t>
            </w:r>
          </w:p>
        </w:tc>
        <w:tc>
          <w:tcPr>
            <w:tcW w:w="16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833C65">
            <w:pPr>
              <w:rPr>
                <w:rFonts w:ascii="Times New Roman" w:eastAsia="Times New Roman" w:hAnsi="Times New Roman" w:cs="Times New Roman"/>
                <w:sz w:val="24"/>
                <w:szCs w:val="24"/>
              </w:rPr>
            </w:pPr>
          </w:p>
        </w:tc>
      </w:tr>
      <w:tr w:rsidR="00833C65">
        <w:tc>
          <w:tcPr>
            <w:tcW w:w="4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color w:val="000000"/>
              </w:rPr>
              <w:t>Leak Detection and Repair</w:t>
            </w:r>
          </w:p>
        </w:tc>
        <w:tc>
          <w:tcPr>
            <w:tcW w:w="3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trike/>
                <w:sz w:val="24"/>
                <w:szCs w:val="24"/>
              </w:rPr>
            </w:pPr>
            <w:r>
              <w:rPr>
                <w:color w:val="000000"/>
              </w:rPr>
              <w:t xml:space="preserve">Day Rate </w:t>
            </w:r>
          </w:p>
        </w:tc>
        <w:tc>
          <w:tcPr>
            <w:tcW w:w="16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833C65">
            <w:pPr>
              <w:rPr>
                <w:rFonts w:ascii="Times New Roman" w:eastAsia="Times New Roman" w:hAnsi="Times New Roman" w:cs="Times New Roman"/>
                <w:sz w:val="24"/>
                <w:szCs w:val="24"/>
              </w:rPr>
            </w:pPr>
          </w:p>
        </w:tc>
      </w:tr>
      <w:tr w:rsidR="00833C65">
        <w:tc>
          <w:tcPr>
            <w:tcW w:w="4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color w:val="000000"/>
              </w:rPr>
              <w:t>Contingency Planning</w:t>
            </w:r>
          </w:p>
        </w:tc>
        <w:tc>
          <w:tcPr>
            <w:tcW w:w="3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color w:val="000000"/>
              </w:rPr>
              <w:t>Day Rate</w:t>
            </w:r>
          </w:p>
        </w:tc>
        <w:tc>
          <w:tcPr>
            <w:tcW w:w="16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833C65">
            <w:pPr>
              <w:rPr>
                <w:rFonts w:ascii="Times New Roman" w:eastAsia="Times New Roman" w:hAnsi="Times New Roman" w:cs="Times New Roman"/>
                <w:sz w:val="24"/>
                <w:szCs w:val="24"/>
              </w:rPr>
            </w:pPr>
          </w:p>
        </w:tc>
      </w:tr>
      <w:tr w:rsidR="00833C65">
        <w:tc>
          <w:tcPr>
            <w:tcW w:w="4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color w:val="000000"/>
              </w:rPr>
              <w:t>Legionella Risk Assessment</w:t>
            </w:r>
          </w:p>
        </w:tc>
        <w:tc>
          <w:tcPr>
            <w:tcW w:w="3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color w:val="000000"/>
              </w:rPr>
              <w:t>Day Rate</w:t>
            </w:r>
          </w:p>
        </w:tc>
        <w:tc>
          <w:tcPr>
            <w:tcW w:w="16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833C65">
            <w:pPr>
              <w:rPr>
                <w:rFonts w:ascii="Times New Roman" w:eastAsia="Times New Roman" w:hAnsi="Times New Roman" w:cs="Times New Roman"/>
                <w:sz w:val="24"/>
                <w:szCs w:val="24"/>
              </w:rPr>
            </w:pPr>
          </w:p>
        </w:tc>
      </w:tr>
      <w:tr w:rsidR="00833C65">
        <w:tc>
          <w:tcPr>
            <w:tcW w:w="4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color w:val="000000"/>
              </w:rPr>
              <w:t>Automated Meter Reading</w:t>
            </w:r>
          </w:p>
        </w:tc>
        <w:tc>
          <w:tcPr>
            <w:tcW w:w="3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rPr>
                <w:rFonts w:ascii="Times New Roman" w:eastAsia="Times New Roman" w:hAnsi="Times New Roman" w:cs="Times New Roman"/>
                <w:sz w:val="24"/>
                <w:szCs w:val="24"/>
              </w:rPr>
            </w:pPr>
            <w:r>
              <w:rPr>
                <w:color w:val="000000"/>
              </w:rPr>
              <w:t>Annual Fee per 1 Asset installed, commissioned, maintained and communications/data feed per year.</w:t>
            </w:r>
          </w:p>
        </w:tc>
        <w:tc>
          <w:tcPr>
            <w:tcW w:w="16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833C65">
            <w:pPr>
              <w:rPr>
                <w:rFonts w:ascii="Times New Roman" w:eastAsia="Times New Roman" w:hAnsi="Times New Roman" w:cs="Times New Roman"/>
                <w:sz w:val="24"/>
                <w:szCs w:val="24"/>
              </w:rPr>
            </w:pPr>
          </w:p>
        </w:tc>
      </w:tr>
      <w:tr w:rsidR="00833C65">
        <w:tc>
          <w:tcPr>
            <w:tcW w:w="4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color w:val="000000"/>
              </w:rPr>
              <w:t>Bill Validation</w:t>
            </w:r>
          </w:p>
        </w:tc>
        <w:tc>
          <w:tcPr>
            <w:tcW w:w="3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color w:val="000000"/>
              </w:rPr>
              <w:t>Fee Per Meter</w:t>
            </w:r>
          </w:p>
        </w:tc>
        <w:tc>
          <w:tcPr>
            <w:tcW w:w="16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833C65">
            <w:pPr>
              <w:rPr>
                <w:rFonts w:ascii="Times New Roman" w:eastAsia="Times New Roman" w:hAnsi="Times New Roman" w:cs="Times New Roman"/>
                <w:sz w:val="24"/>
                <w:szCs w:val="24"/>
              </w:rPr>
            </w:pPr>
          </w:p>
        </w:tc>
      </w:tr>
      <w:tr w:rsidR="00833C65">
        <w:tc>
          <w:tcPr>
            <w:tcW w:w="439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b/>
              </w:rPr>
              <w:t>Service</w:t>
            </w:r>
          </w:p>
        </w:tc>
        <w:tc>
          <w:tcPr>
            <w:tcW w:w="340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b/>
              </w:rPr>
              <w:t>Cost Metric</w:t>
            </w:r>
          </w:p>
        </w:tc>
        <w:tc>
          <w:tcPr>
            <w:tcW w:w="16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b/>
              </w:rPr>
              <w:t>Percentage (%)</w:t>
            </w:r>
          </w:p>
        </w:tc>
      </w:tr>
      <w:tr w:rsidR="00833C65">
        <w:tc>
          <w:tcPr>
            <w:tcW w:w="4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color w:val="000000"/>
              </w:rPr>
              <w:t>Cost Recovery</w:t>
            </w:r>
          </w:p>
        </w:tc>
        <w:tc>
          <w:tcPr>
            <w:tcW w:w="3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7809C5">
            <w:pPr>
              <w:spacing w:before="240" w:after="120"/>
              <w:ind w:left="142"/>
              <w:jc w:val="both"/>
              <w:rPr>
                <w:rFonts w:ascii="Times New Roman" w:eastAsia="Times New Roman" w:hAnsi="Times New Roman" w:cs="Times New Roman"/>
                <w:sz w:val="24"/>
                <w:szCs w:val="24"/>
              </w:rPr>
            </w:pPr>
            <w:r>
              <w:rPr>
                <w:color w:val="000000"/>
              </w:rPr>
              <w:t>Percentage Share </w:t>
            </w:r>
          </w:p>
        </w:tc>
        <w:tc>
          <w:tcPr>
            <w:tcW w:w="16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C65" w:rsidRDefault="00833C65">
            <w:pPr>
              <w:rPr>
                <w:rFonts w:ascii="Times New Roman" w:eastAsia="Times New Roman" w:hAnsi="Times New Roman" w:cs="Times New Roman"/>
                <w:sz w:val="24"/>
                <w:szCs w:val="24"/>
              </w:rPr>
            </w:pPr>
          </w:p>
        </w:tc>
      </w:tr>
    </w:tbl>
    <w:p w:rsidR="00833C65" w:rsidRDefault="00833C65">
      <w:pPr>
        <w:spacing w:before="240" w:after="240" w:line="240" w:lineRule="auto"/>
        <w:rPr>
          <w:rFonts w:ascii="Arial" w:eastAsia="Arial" w:hAnsi="Arial" w:cs="Arial"/>
          <w:b/>
          <w:smallCaps/>
          <w:sz w:val="36"/>
          <w:szCs w:val="36"/>
        </w:rPr>
      </w:pPr>
    </w:p>
    <w:p w:rsidR="00833C65" w:rsidRDefault="00833C65">
      <w:pPr>
        <w:spacing w:before="240" w:after="240" w:line="240" w:lineRule="auto"/>
        <w:rPr>
          <w:rFonts w:ascii="Arial" w:eastAsia="Arial" w:hAnsi="Arial" w:cs="Arial"/>
          <w:b/>
          <w:smallCaps/>
          <w:sz w:val="36"/>
          <w:szCs w:val="36"/>
        </w:rPr>
      </w:pPr>
    </w:p>
    <w:p w:rsidR="00833C65" w:rsidRDefault="00833C65">
      <w:pPr>
        <w:spacing w:before="240" w:after="240" w:line="240" w:lineRule="auto"/>
        <w:rPr>
          <w:rFonts w:ascii="Arial" w:eastAsia="Arial" w:hAnsi="Arial" w:cs="Arial"/>
          <w:b/>
          <w:smallCaps/>
          <w:color w:val="000000"/>
          <w:sz w:val="36"/>
          <w:szCs w:val="36"/>
        </w:rPr>
      </w:pPr>
    </w:p>
    <w:p w:rsidR="00833C65" w:rsidRDefault="00833C65">
      <w:pPr>
        <w:spacing w:before="240" w:after="240" w:line="240" w:lineRule="auto"/>
        <w:rPr>
          <w:rFonts w:ascii="Arial" w:eastAsia="Arial" w:hAnsi="Arial" w:cs="Arial"/>
          <w:b/>
          <w:smallCaps/>
          <w:color w:val="000000"/>
          <w:sz w:val="36"/>
          <w:szCs w:val="36"/>
        </w:rPr>
      </w:pPr>
    </w:p>
    <w:p w:rsidR="00833C65" w:rsidRDefault="00833C65">
      <w:pPr>
        <w:spacing w:before="240" w:after="240" w:line="240" w:lineRule="auto"/>
        <w:rPr>
          <w:rFonts w:ascii="Arial" w:eastAsia="Arial" w:hAnsi="Arial" w:cs="Arial"/>
          <w:b/>
          <w:smallCaps/>
          <w:color w:val="000000"/>
          <w:sz w:val="36"/>
          <w:szCs w:val="36"/>
        </w:rPr>
      </w:pPr>
    </w:p>
    <w:p w:rsidR="00833C65" w:rsidRDefault="00833C65">
      <w:pPr>
        <w:spacing w:after="240" w:line="240" w:lineRule="auto"/>
        <w:jc w:val="center"/>
        <w:rPr>
          <w:rFonts w:ascii="Arial Bold" w:eastAsia="Arial Bold" w:hAnsi="Arial Bold" w:cs="Arial Bold"/>
          <w:b/>
          <w:smallCaps/>
          <w:color w:val="000000"/>
        </w:rPr>
      </w:pPr>
    </w:p>
    <w:p w:rsidR="00833C65" w:rsidRDefault="00833C65">
      <w:pPr>
        <w:spacing w:after="240" w:line="240" w:lineRule="auto"/>
        <w:rPr>
          <w:rFonts w:ascii="Arial" w:eastAsia="Arial" w:hAnsi="Arial" w:cs="Arial"/>
          <w:b/>
          <w:smallCaps/>
          <w:color w:val="000000"/>
          <w:sz w:val="36"/>
          <w:szCs w:val="36"/>
        </w:rPr>
      </w:pPr>
    </w:p>
    <w:p w:rsidR="00833C65" w:rsidRDefault="007809C5">
      <w:pPr>
        <w:spacing w:after="240" w:line="240" w:lineRule="auto"/>
        <w:rPr>
          <w:color w:val="000000"/>
          <w:sz w:val="18"/>
          <w:szCs w:val="18"/>
        </w:rPr>
      </w:pPr>
      <w:r>
        <w:rPr>
          <w:rFonts w:ascii="Arial" w:eastAsia="Arial" w:hAnsi="Arial" w:cs="Arial"/>
          <w:b/>
          <w:smallCaps/>
          <w:color w:val="000000"/>
          <w:sz w:val="36"/>
          <w:szCs w:val="36"/>
        </w:rPr>
        <w:lastRenderedPageBreak/>
        <w:t xml:space="preserve">ANNEX 3: FRAMEWORK PRICES </w:t>
      </w:r>
      <w:r>
        <w:rPr>
          <w:rFonts w:ascii="Arial" w:eastAsia="Arial" w:hAnsi="Arial" w:cs="Arial"/>
          <w:b/>
          <w:smallCaps/>
          <w:color w:val="000000"/>
          <w:sz w:val="32"/>
          <w:szCs w:val="32"/>
        </w:rPr>
        <w:t>(Lot 3)</w:t>
      </w:r>
    </w:p>
    <w:p w:rsidR="00833C65" w:rsidRDefault="007809C5">
      <w:pPr>
        <w:spacing w:after="240" w:line="240" w:lineRule="auto"/>
        <w:jc w:val="both"/>
        <w:rPr>
          <w:rFonts w:ascii="Arial" w:eastAsia="Arial" w:hAnsi="Arial" w:cs="Arial"/>
          <w:sz w:val="24"/>
          <w:szCs w:val="24"/>
        </w:rPr>
      </w:pPr>
      <w:r>
        <w:rPr>
          <w:rFonts w:ascii="Arial" w:eastAsia="Arial" w:hAnsi="Arial" w:cs="Arial"/>
          <w:sz w:val="24"/>
          <w:szCs w:val="24"/>
        </w:rPr>
        <w:t>Suppliers awarded on both Lot 1 and Lot 2 combined will automatically become a Lot 3 supplier.</w:t>
      </w:r>
    </w:p>
    <w:p w:rsidR="00833C65" w:rsidRDefault="007809C5">
      <w:pPr>
        <w:spacing w:after="240" w:line="240" w:lineRule="auto"/>
        <w:jc w:val="both"/>
        <w:rPr>
          <w:rFonts w:ascii="Arial" w:eastAsia="Arial" w:hAnsi="Arial" w:cs="Arial"/>
          <w:sz w:val="24"/>
          <w:szCs w:val="24"/>
        </w:rPr>
      </w:pPr>
      <w:r>
        <w:rPr>
          <w:rFonts w:ascii="Arial" w:eastAsia="Arial" w:hAnsi="Arial" w:cs="Arial"/>
          <w:sz w:val="24"/>
          <w:szCs w:val="24"/>
        </w:rPr>
        <w:t>Please refer to Annex 2 – Table 1 - Water Ancillary Services and Table 2 – Water and Sewerage Services to create the Lot 3 framework prices.</w:t>
      </w:r>
    </w:p>
    <w:p w:rsidR="00A2708E" w:rsidRDefault="00A2708E">
      <w:pPr>
        <w:spacing w:after="240" w:line="240" w:lineRule="auto"/>
        <w:jc w:val="both"/>
        <w:rPr>
          <w:rFonts w:ascii="Arial" w:eastAsia="Arial" w:hAnsi="Arial" w:cs="Arial"/>
          <w:sz w:val="24"/>
          <w:szCs w:val="24"/>
        </w:rPr>
      </w:pPr>
    </w:p>
    <w:p w:rsidR="00A2708E" w:rsidRPr="00A2708E" w:rsidRDefault="00A2708E" w:rsidP="00A2708E">
      <w:pPr>
        <w:spacing w:after="240" w:line="240" w:lineRule="auto"/>
        <w:jc w:val="both"/>
        <w:rPr>
          <w:rFonts w:ascii="Arial" w:eastAsia="Arial" w:hAnsi="Arial" w:cs="Arial"/>
          <w:b/>
          <w:sz w:val="24"/>
          <w:szCs w:val="24"/>
        </w:rPr>
      </w:pPr>
      <w:r w:rsidRPr="00A2708E">
        <w:rPr>
          <w:rFonts w:ascii="Arial" w:eastAsia="Arial" w:hAnsi="Arial" w:cs="Arial"/>
          <w:b/>
          <w:sz w:val="24"/>
          <w:szCs w:val="24"/>
        </w:rPr>
        <w:t>Please see embedded folder within the Framework Contract Documents folder.</w:t>
      </w:r>
    </w:p>
    <w:sectPr w:rsidR="00A2708E" w:rsidRPr="00A2708E">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752A" w:rsidRDefault="00AC752A">
      <w:pPr>
        <w:spacing w:after="0" w:line="240" w:lineRule="auto"/>
      </w:pPr>
      <w:r>
        <w:separator/>
      </w:r>
    </w:p>
  </w:endnote>
  <w:endnote w:type="continuationSeparator" w:id="0">
    <w:p w:rsidR="00AC752A" w:rsidRDefault="00AC7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C65" w:rsidRDefault="00833C65">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C65" w:rsidRDefault="007809C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proofErr w:type="gramStart"/>
    <w:r>
      <w:rPr>
        <w:rFonts w:ascii="Arial" w:eastAsia="Arial" w:hAnsi="Arial" w:cs="Arial"/>
        <w:sz w:val="20"/>
        <w:szCs w:val="20"/>
      </w:rPr>
      <w:t>6306  Water</w:t>
    </w:r>
    <w:proofErr w:type="gramEnd"/>
    <w:r>
      <w:rPr>
        <w:rFonts w:ascii="Arial" w:eastAsia="Arial" w:hAnsi="Arial" w:cs="Arial"/>
        <w:sz w:val="20"/>
        <w:szCs w:val="20"/>
      </w:rPr>
      <w:t>, Wastewater and Ancillary Services (3)</w:t>
    </w:r>
    <w:r>
      <w:rPr>
        <w:rFonts w:ascii="Arial" w:eastAsia="Arial" w:hAnsi="Arial" w:cs="Arial"/>
        <w:sz w:val="20"/>
        <w:szCs w:val="20"/>
      </w:rPr>
      <w:tab/>
      <w:t xml:space="preserve">                                           </w:t>
    </w:r>
  </w:p>
  <w:p w:rsidR="00833C65" w:rsidRDefault="007809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2708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33C65" w:rsidRDefault="007809C5">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C65" w:rsidRDefault="007809C5">
    <w:pPr>
      <w:tabs>
        <w:tab w:val="center" w:pos="4513"/>
        <w:tab w:val="right" w:pos="9026"/>
      </w:tabs>
      <w:spacing w:after="0"/>
    </w:pPr>
    <w:r>
      <w:t>Framework Ref: RM</w:t>
    </w:r>
    <w:r>
      <w:tab/>
      <w:t xml:space="preserve">                                           </w:t>
    </w:r>
  </w:p>
  <w:p w:rsidR="00833C65" w:rsidRDefault="007809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833C65" w:rsidRDefault="007809C5">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752A" w:rsidRDefault="00AC752A">
      <w:pPr>
        <w:spacing w:after="0" w:line="240" w:lineRule="auto"/>
      </w:pPr>
      <w:r>
        <w:separator/>
      </w:r>
    </w:p>
  </w:footnote>
  <w:footnote w:type="continuationSeparator" w:id="0">
    <w:p w:rsidR="00AC752A" w:rsidRDefault="00AC75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C65" w:rsidRDefault="00833C6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C65" w:rsidRDefault="007809C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833C65" w:rsidRDefault="007809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C65" w:rsidRDefault="007809C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833C65" w:rsidRDefault="007809C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3E6306"/>
    <w:multiLevelType w:val="multilevel"/>
    <w:tmpl w:val="32AC75E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C65"/>
    <w:rsid w:val="000F0031"/>
    <w:rsid w:val="007809C5"/>
    <w:rsid w:val="00833C65"/>
    <w:rsid w:val="00A2708E"/>
    <w:rsid w:val="00AC75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AEF52"/>
  <w15:docId w15:val="{75D03F7D-1189-4BA3-ADA3-07B15E226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1">
    <w:basedOn w:val="TableNormal"/>
    <w:pPr>
      <w:spacing w:after="0" w:line="240" w:lineRule="auto"/>
    </w:p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Nn2/H2u5Fk6vNAoFQEsfBsaB3g==">CgMxLjAyCGguZ2pkZ3hzMgloLjMwajB6bGwyCmlkLjN6bnlzaDcyCWguMWZvYjl0ZTIJaC4yZXQ5MnAwMghoLnR5amN3dDgAciExNmhfbjVoWnVUTFkxMVJySXBJZFhjU1VjM0FMOFBzNEI=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923</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Olivia Devaney</cp:lastModifiedBy>
  <cp:revision>3</cp:revision>
  <dcterms:created xsi:type="dcterms:W3CDTF">2024-06-11T07:33:00Z</dcterms:created>
  <dcterms:modified xsi:type="dcterms:W3CDTF">2024-07-03T12:03:00Z</dcterms:modified>
</cp:coreProperties>
</file>